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21.png" ContentType="image/png"/>
  <Override PartName="/word/media/rId23.png" ContentType="image/png"/>
  <Override PartName="/word/media/rId25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Гит</w:t>
      </w:r>
      <w:r>
        <w:t xml:space="preserve"> </w:t>
      </w:r>
      <w:r>
        <w:t xml:space="preserve">и</w:t>
      </w:r>
      <w:r>
        <w:t xml:space="preserve"> </w:t>
      </w:r>
      <w:r>
        <w:t xml:space="preserve">МД</w:t>
      </w:r>
    </w:p>
    <w:p>
      <w:pPr>
        <w:pStyle w:val="Author"/>
      </w:pPr>
      <w:r>
        <w:t xml:space="preserve">Негматуллаев</w:t>
      </w:r>
      <w:r>
        <w:t xml:space="preserve"> </w:t>
      </w:r>
      <w:r>
        <w:t xml:space="preserve">Бежан</w:t>
      </w:r>
      <w:r>
        <w:t xml:space="preserve"> </w:t>
      </w:r>
      <w:r>
        <w:t xml:space="preserve">Шухратович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системой ГИТ И МАРКДАУН</w:t>
      </w:r>
    </w:p>
    <w:bookmarkEnd w:id="20"/>
    <w:bookmarkStart w:id="3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Установка имени и электронной почты (рис. 1)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Пункт 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Пункт 1</w:t>
      </w:r>
    </w:p>
    <w:p>
      <w:pPr>
        <w:numPr>
          <w:ilvl w:val="0"/>
          <w:numId w:val="1002"/>
        </w:numPr>
        <w:pStyle w:val="Compact"/>
      </w:pPr>
      <w:r>
        <w:t xml:space="preserve">Параметры установки окончаний строк (рис. 2)</w:t>
      </w:r>
    </w:p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Пункт 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Пункт 2</w:t>
      </w:r>
    </w:p>
    <w:p>
      <w:pPr>
        <w:numPr>
          <w:ilvl w:val="0"/>
          <w:numId w:val="1003"/>
        </w:numPr>
        <w:pStyle w:val="Compact"/>
      </w:pPr>
      <w:r>
        <w:t xml:space="preserve">Создание проекта</w:t>
      </w:r>
    </w:p>
    <w:p>
      <w:pPr>
        <w:pStyle w:val="CaptionedFigure"/>
      </w:pPr>
      <w:bookmarkStart w:id="26" w:name="fig:003"/>
      <w:r>
        <w:drawing>
          <wp:inline>
            <wp:extent cx="5334000" cy="3000375"/>
            <wp:effectExtent b="0" l="0" r="0" t="0"/>
            <wp:docPr descr="Пункт 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Пункт 3</w:t>
      </w:r>
    </w:p>
    <w:p>
      <w:pPr>
        <w:numPr>
          <w:ilvl w:val="0"/>
          <w:numId w:val="1004"/>
        </w:numPr>
        <w:pStyle w:val="Compact"/>
      </w:pPr>
      <w:r>
        <w:t xml:space="preserve">Внесение изменений (рис. 4)</w:t>
      </w:r>
    </w:p>
    <w:p>
      <w:pPr>
        <w:pStyle w:val="CaptionedFigure"/>
      </w:pPr>
      <w:bookmarkStart w:id="28" w:name="fig:004"/>
      <w:r>
        <w:drawing>
          <wp:inline>
            <wp:extent cx="5334000" cy="3000375"/>
            <wp:effectExtent b="0" l="0" r="0" t="0"/>
            <wp:docPr descr="Пункт 4" title="" id="1" name="Picture"/>
            <a:graphic>
              <a:graphicData uri="http://schemas.openxmlformats.org/drawingml/2006/picture">
                <pic:pic>
                  <pic:nvPicPr>
                    <pic:cNvPr descr="./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Пункт 4</w:t>
      </w:r>
    </w:p>
    <w:p>
      <w:pPr>
        <w:numPr>
          <w:ilvl w:val="0"/>
          <w:numId w:val="1005"/>
        </w:numPr>
        <w:pStyle w:val="Compact"/>
      </w:pPr>
      <w:r>
        <w:t xml:space="preserve">Индексация изменений (рис. 5)</w:t>
      </w:r>
    </w:p>
    <w:p>
      <w:pPr>
        <w:pStyle w:val="CaptionedFigure"/>
      </w:pPr>
      <w:bookmarkStart w:id="30" w:name="fig:005"/>
      <w:r>
        <w:drawing>
          <wp:inline>
            <wp:extent cx="5334000" cy="3000375"/>
            <wp:effectExtent b="0" l="0" r="0" t="0"/>
            <wp:docPr descr="Пункт 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Пункт 5</w:t>
      </w:r>
    </w:p>
    <w:p>
      <w:pPr>
        <w:numPr>
          <w:ilvl w:val="0"/>
          <w:numId w:val="1006"/>
        </w:numPr>
        <w:pStyle w:val="Compact"/>
      </w:pPr>
      <w:r>
        <w:t xml:space="preserve">Внесение изменений в коммиты(рис. 6)</w:t>
      </w:r>
    </w:p>
    <w:p>
      <w:pPr>
        <w:pStyle w:val="CaptionedFigure"/>
      </w:pPr>
      <w:bookmarkStart w:id="32" w:name="fig:006"/>
      <w:r>
        <w:drawing>
          <wp:inline>
            <wp:extent cx="5334000" cy="3000375"/>
            <wp:effectExtent b="0" l="0" r="0" t="0"/>
            <wp:docPr descr="Пункт 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Пункт 6</w:t>
      </w:r>
    </w:p>
    <w:p>
      <w:pPr>
        <w:numPr>
          <w:ilvl w:val="0"/>
          <w:numId w:val="1007"/>
        </w:numPr>
        <w:pStyle w:val="Compact"/>
      </w:pPr>
      <w:r>
        <w:t xml:space="preserve">Подробнее о структуре (рис. 7)</w:t>
      </w:r>
    </w:p>
    <w:p>
      <w:pPr>
        <w:pStyle w:val="CaptionedFigure"/>
      </w:pPr>
      <w:bookmarkStart w:id="34" w:name="fig:007"/>
      <w:r>
        <w:drawing>
          <wp:inline>
            <wp:extent cx="5334000" cy="3000375"/>
            <wp:effectExtent b="0" l="0" r="0" t="0"/>
            <wp:docPr descr="Пункт 7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Пункт 7</w:t>
      </w:r>
    </w:p>
    <w:p>
      <w:pPr>
        <w:numPr>
          <w:ilvl w:val="0"/>
          <w:numId w:val="1008"/>
        </w:numPr>
        <w:pStyle w:val="Compact"/>
      </w:pPr>
      <w:r>
        <w:t xml:space="preserve">Перебазирование (рис. 8)</w:t>
      </w:r>
    </w:p>
    <w:p>
      <w:pPr>
        <w:pStyle w:val="CaptionedFigure"/>
      </w:pPr>
      <w:bookmarkStart w:id="36" w:name="fig:008"/>
      <w:r>
        <w:drawing>
          <wp:inline>
            <wp:extent cx="5334000" cy="3000375"/>
            <wp:effectExtent b="0" l="0" r="0" t="0"/>
            <wp:docPr descr="Пункт 8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Пункт 8</w:t>
      </w:r>
    </w:p>
    <w:p>
      <w:pPr>
        <w:numPr>
          <w:ilvl w:val="0"/>
          <w:numId w:val="1009"/>
        </w:numPr>
        <w:pStyle w:val="Compact"/>
      </w:pPr>
      <w:r>
        <w:t xml:space="preserve">Клонирование репозиториев (рис. 8)</w:t>
      </w:r>
    </w:p>
    <w:p>
      <w:pPr>
        <w:pStyle w:val="CaptionedFigure"/>
      </w:pPr>
      <w:bookmarkStart w:id="38" w:name="fig:009"/>
      <w:r>
        <w:drawing>
          <wp:inline>
            <wp:extent cx="5334000" cy="3000375"/>
            <wp:effectExtent b="0" l="0" r="0" t="0"/>
            <wp:docPr descr="Пункт 9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Пункт 9</w:t>
      </w:r>
    </w:p>
    <w:bookmarkEnd w:id="39"/>
    <w:bookmarkStart w:id="40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Ознакомились с системой контроля версий ГИТ</w:t>
      </w:r>
    </w:p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</dc:title>
  <dc:creator>Негматуллаев Бежан Шухратович</dc:creator>
  <dc:language>ru-RU</dc:language>
  <cp:keywords/>
  <dcterms:created xsi:type="dcterms:W3CDTF">2024-02-09T15:43:45Z</dcterms:created>
  <dcterms:modified xsi:type="dcterms:W3CDTF">2024-02-09T15:43:45Z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Гит и МД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